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Alois-Schießl-Platz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r w:rsidRPr="00AF0EB5">
        <w:rPr>
          <w:sz w:val="18"/>
          <w:szCs w:val="18"/>
        </w:rPr>
        <w:t xml:space="preserve">Zi.Nr.: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0341AC">
        <w:rPr>
          <w:sz w:val="18"/>
          <w:szCs w:val="18"/>
        </w:rPr>
      </w:r>
      <w:r w:rsidR="000341AC">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0341AC">
        <w:rPr>
          <w:b/>
          <w:noProof/>
        </w:rPr>
      </w:r>
      <w:r w:rsidR="000341AC">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C166C8">
        <w:rPr>
          <w:rFonts w:cs="Arial"/>
          <w:b/>
          <w:sz w:val="22"/>
          <w:szCs w:val="22"/>
        </w:rPr>
        <w:t xml:space="preserve"> </w:t>
      </w:r>
      <w:r w:rsidR="00D20622">
        <w:rPr>
          <w:rFonts w:cs="Arial"/>
          <w:b/>
          <w:sz w:val="22"/>
          <w:szCs w:val="22"/>
        </w:rPr>
        <w:t xml:space="preserve"> </w:t>
      </w:r>
      <w:r w:rsidR="009262E6">
        <w:rPr>
          <w:rFonts w:cs="Arial"/>
          <w:b/>
          <w:sz w:val="22"/>
          <w:szCs w:val="22"/>
        </w:rPr>
        <w:t xml:space="preserve"> </w:t>
      </w:r>
      <w:r w:rsidR="007331AB">
        <w:rPr>
          <w:rFonts w:cs="Arial"/>
          <w:b/>
          <w:sz w:val="22"/>
          <w:szCs w:val="22"/>
        </w:rPr>
        <w:t xml:space="preserve"> </w:t>
      </w:r>
      <w:r w:rsidR="00F24B07">
        <w:rPr>
          <w:rFonts w:cs="Arial"/>
          <w:b/>
          <w:sz w:val="22"/>
          <w:szCs w:val="22"/>
        </w:rPr>
        <w:t xml:space="preserve"> </w:t>
      </w:r>
      <w:r w:rsidR="000341AC">
        <w:rPr>
          <w:rFonts w:cs="Arial"/>
          <w:b/>
          <w:sz w:val="22"/>
          <w:szCs w:val="22"/>
        </w:rPr>
        <w:t xml:space="preserve"> Jobcenter</w:t>
      </w:r>
    </w:p>
    <w:p w:rsidR="007331AB" w:rsidRPr="00FA773D" w:rsidRDefault="007331AB" w:rsidP="007331AB">
      <w:pPr>
        <w:tabs>
          <w:tab w:val="left" w:pos="993"/>
        </w:tabs>
        <w:rPr>
          <w:rFonts w:cs="Arial"/>
          <w:b/>
          <w:sz w:val="22"/>
          <w:szCs w:val="22"/>
          <w:u w:val="single"/>
        </w:rPr>
      </w:pPr>
    </w:p>
    <w:p w:rsidR="000341AC" w:rsidRPr="000341AC" w:rsidRDefault="000341AC" w:rsidP="000341AC">
      <w:pPr>
        <w:tabs>
          <w:tab w:val="left" w:pos="993"/>
        </w:tabs>
        <w:rPr>
          <w:rFonts w:cs="Arial"/>
          <w:sz w:val="22"/>
        </w:rPr>
      </w:pPr>
      <w:r w:rsidRPr="000341AC">
        <w:rPr>
          <w:rFonts w:cs="Arial"/>
          <w:sz w:val="22"/>
        </w:rPr>
        <w:t>Ausgangslage</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r w:rsidRPr="000341AC">
        <w:rPr>
          <w:rFonts w:cs="Arial"/>
          <w:sz w:val="22"/>
        </w:rPr>
        <w:t>Auch 2026 stehen die Jobcenter wieder vor großen Herausforderungen.</w:t>
      </w:r>
    </w:p>
    <w:p w:rsidR="000341AC" w:rsidRPr="000341AC" w:rsidRDefault="000341AC" w:rsidP="000341AC">
      <w:pPr>
        <w:tabs>
          <w:tab w:val="left" w:pos="993"/>
        </w:tabs>
        <w:rPr>
          <w:rFonts w:cs="Arial"/>
          <w:sz w:val="22"/>
        </w:rPr>
      </w:pPr>
      <w:r w:rsidRPr="000341AC">
        <w:rPr>
          <w:rFonts w:cs="Arial"/>
          <w:sz w:val="22"/>
        </w:rPr>
        <w:t xml:space="preserve">Die </w:t>
      </w:r>
      <w:r w:rsidRPr="000341AC">
        <w:rPr>
          <w:rFonts w:cs="Arial"/>
          <w:b/>
          <w:bCs/>
          <w:sz w:val="22"/>
        </w:rPr>
        <w:t xml:space="preserve">Megatrends </w:t>
      </w:r>
      <w:r w:rsidRPr="000341AC">
        <w:rPr>
          <w:rFonts w:cs="Arial"/>
          <w:sz w:val="22"/>
        </w:rPr>
        <w:t>wie</w:t>
      </w:r>
      <w:r w:rsidRPr="000341AC">
        <w:rPr>
          <w:rFonts w:cs="Arial"/>
          <w:b/>
          <w:bCs/>
          <w:sz w:val="22"/>
        </w:rPr>
        <w:t xml:space="preserve"> </w:t>
      </w:r>
      <w:r w:rsidRPr="000341AC">
        <w:rPr>
          <w:rFonts w:cs="Arial"/>
          <w:sz w:val="22"/>
        </w:rPr>
        <w:t>globale geopolitische Krisen und wirtschaftliche Konflikte, der demografische Wandel, die Digitalisierung, Automatisierung und KI, die Dekarbonisierung, der zunehmende Ressourcen- und Anpassungsdruck in den Sozialsystemen sowie die Identitätsdynamik haben deutliche Auswirkungen auf den bayerischen Arbeitsmarkt – sie bürgen Chancen und Risiken gleichermaßen. Sie erfordern aber in jedem Fall ein beherztes Handeln aller Akteurinnen und Akteure.</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r w:rsidRPr="000341AC">
        <w:rPr>
          <w:rFonts w:cs="Arial"/>
          <w:sz w:val="22"/>
        </w:rPr>
        <w:t xml:space="preserve">Zudem plant die Bundesregierung </w:t>
      </w:r>
      <w:r w:rsidRPr="000341AC">
        <w:rPr>
          <w:rFonts w:cs="Arial"/>
          <w:b/>
          <w:bCs/>
          <w:sz w:val="22"/>
        </w:rPr>
        <w:t>umfangreiche Gesetzesänderungen im SGB II</w:t>
      </w:r>
      <w:r w:rsidRPr="000341AC">
        <w:rPr>
          <w:rFonts w:cs="Arial"/>
          <w:sz w:val="22"/>
        </w:rPr>
        <w:t>, die durch die Jobcenter umgesetzt werden müssen - u.a. eine Verschärfung der Sanktionsregelungen für sogenannte Totalverweigerer, die Abschaffung der Karenzzeit für das Vermögen sowie den Übergang ukrainischer Flüchtlinge ab einem bestimmten Stichtag (vor. 01.04.2025) in den Rechtskreis des Asylbewerberleistungsgesetztes.</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r w:rsidRPr="000341AC">
        <w:rPr>
          <w:rFonts w:cs="Arial"/>
          <w:sz w:val="22"/>
        </w:rPr>
        <w:t xml:space="preserve">Die </w:t>
      </w:r>
      <w:r w:rsidRPr="000341AC">
        <w:rPr>
          <w:rFonts w:cs="Arial"/>
          <w:b/>
          <w:bCs/>
          <w:sz w:val="22"/>
        </w:rPr>
        <w:t>arbeitsmarktpolitischen Schwerpunktthemen</w:t>
      </w:r>
      <w:r w:rsidRPr="000341AC">
        <w:rPr>
          <w:rFonts w:cs="Arial"/>
          <w:sz w:val="22"/>
        </w:rPr>
        <w:t xml:space="preserve"> in Bayern sind:</w:t>
      </w:r>
    </w:p>
    <w:p w:rsidR="000341AC" w:rsidRPr="000341AC" w:rsidRDefault="000341AC" w:rsidP="000341AC">
      <w:pPr>
        <w:numPr>
          <w:ilvl w:val="0"/>
          <w:numId w:val="3"/>
        </w:numPr>
        <w:tabs>
          <w:tab w:val="left" w:pos="993"/>
        </w:tabs>
        <w:rPr>
          <w:rFonts w:cs="Arial"/>
          <w:sz w:val="22"/>
        </w:rPr>
      </w:pPr>
      <w:r w:rsidRPr="000341AC">
        <w:rPr>
          <w:rFonts w:cs="Arial"/>
          <w:sz w:val="22"/>
        </w:rPr>
        <w:t>Übergänge für alle jungen Menschen von Schule in Ausbildung und Beruf sicherstellen</w:t>
      </w:r>
    </w:p>
    <w:p w:rsidR="000341AC" w:rsidRPr="000341AC" w:rsidRDefault="000341AC" w:rsidP="000341AC">
      <w:pPr>
        <w:numPr>
          <w:ilvl w:val="0"/>
          <w:numId w:val="3"/>
        </w:numPr>
        <w:tabs>
          <w:tab w:val="left" w:pos="993"/>
        </w:tabs>
        <w:rPr>
          <w:rFonts w:cs="Arial"/>
          <w:sz w:val="22"/>
        </w:rPr>
      </w:pPr>
      <w:r w:rsidRPr="000341AC">
        <w:rPr>
          <w:rFonts w:cs="Arial"/>
          <w:sz w:val="22"/>
        </w:rPr>
        <w:t>die Vermittlung mit frühzeitiger Arbeitsmarktberatung für Arbeitgeber stärken</w:t>
      </w:r>
    </w:p>
    <w:p w:rsidR="000341AC" w:rsidRPr="000341AC" w:rsidRDefault="000341AC" w:rsidP="000341AC">
      <w:pPr>
        <w:numPr>
          <w:ilvl w:val="0"/>
          <w:numId w:val="3"/>
        </w:numPr>
        <w:tabs>
          <w:tab w:val="left" w:pos="993"/>
        </w:tabs>
        <w:rPr>
          <w:rFonts w:cs="Arial"/>
          <w:sz w:val="22"/>
        </w:rPr>
      </w:pPr>
      <w:r w:rsidRPr="000341AC">
        <w:rPr>
          <w:rFonts w:cs="Arial"/>
          <w:sz w:val="22"/>
        </w:rPr>
        <w:t>Arbeitslose frühzeitig effektiv aktivieren und qualifizieren</w:t>
      </w:r>
    </w:p>
    <w:p w:rsidR="000341AC" w:rsidRPr="000341AC" w:rsidRDefault="000341AC" w:rsidP="000341AC">
      <w:pPr>
        <w:numPr>
          <w:ilvl w:val="0"/>
          <w:numId w:val="3"/>
        </w:numPr>
        <w:tabs>
          <w:tab w:val="left" w:pos="993"/>
        </w:tabs>
        <w:rPr>
          <w:rFonts w:cs="Arial"/>
          <w:sz w:val="22"/>
        </w:rPr>
      </w:pPr>
      <w:r w:rsidRPr="000341AC">
        <w:rPr>
          <w:rFonts w:cs="Arial"/>
          <w:sz w:val="22"/>
        </w:rPr>
        <w:t>Existenzsicherung gewährleisten</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r w:rsidRPr="000341AC">
        <w:rPr>
          <w:rFonts w:cs="Arial"/>
          <w:sz w:val="22"/>
        </w:rPr>
        <w:t xml:space="preserve">Um die arbeitsmarktpolitischen Ziele zu erreichen, stehen dem Jobcenter ARUSO Erding 2026 folgende </w:t>
      </w:r>
      <w:r w:rsidRPr="000341AC">
        <w:rPr>
          <w:rFonts w:cs="Arial"/>
          <w:b/>
          <w:bCs/>
          <w:sz w:val="22"/>
        </w:rPr>
        <w:t>finanzielle Ressourcen</w:t>
      </w:r>
      <w:r w:rsidRPr="000341AC">
        <w:rPr>
          <w:rFonts w:cs="Arial"/>
          <w:sz w:val="22"/>
        </w:rPr>
        <w:t xml:space="preserve"> zur Verfügung:</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b/>
          <w:sz w:val="22"/>
        </w:rPr>
      </w:pPr>
      <w:r w:rsidRPr="000341AC">
        <w:rPr>
          <w:rFonts w:cs="Arial"/>
          <w:sz w:val="22"/>
        </w:rPr>
        <w:t>Globalbudget 2026</w:t>
      </w:r>
    </w:p>
    <w:p w:rsidR="000341AC" w:rsidRPr="000341AC" w:rsidRDefault="000341AC" w:rsidP="000341AC">
      <w:pPr>
        <w:tabs>
          <w:tab w:val="left" w:pos="993"/>
        </w:tabs>
        <w:rPr>
          <w:rFonts w:cs="Arial"/>
          <w:sz w:val="22"/>
        </w:rPr>
      </w:pPr>
      <w:r w:rsidRPr="000341AC">
        <w:rPr>
          <w:rFonts w:cs="Arial"/>
          <w:b/>
          <w:sz w:val="22"/>
        </w:rPr>
        <w:t>Vorläufige Zuteilung:</w:t>
      </w:r>
      <w:r w:rsidRPr="000341AC">
        <w:rPr>
          <w:rFonts w:cs="Arial"/>
          <w:b/>
          <w:sz w:val="22"/>
        </w:rPr>
        <w:tab/>
      </w:r>
      <w:r w:rsidRPr="000341AC">
        <w:rPr>
          <w:rFonts w:cs="Arial"/>
          <w:b/>
          <w:sz w:val="22"/>
        </w:rPr>
        <w:tab/>
        <w:t>4.907.215,00 €</w:t>
      </w:r>
      <w:r w:rsidRPr="000341AC">
        <w:rPr>
          <w:rFonts w:cs="Arial"/>
          <w:sz w:val="22"/>
        </w:rPr>
        <w:t xml:space="preserve"> (+ 287.285 € = 6,22% ggü. 2025)</w:t>
      </w:r>
    </w:p>
    <w:p w:rsidR="000341AC" w:rsidRPr="000341AC" w:rsidRDefault="000341AC" w:rsidP="000341AC">
      <w:pPr>
        <w:tabs>
          <w:tab w:val="left" w:pos="993"/>
        </w:tabs>
        <w:rPr>
          <w:rFonts w:cs="Arial"/>
          <w:bCs/>
          <w:sz w:val="22"/>
        </w:rPr>
      </w:pPr>
    </w:p>
    <w:p w:rsidR="000341AC" w:rsidRPr="000341AC" w:rsidRDefault="000341AC" w:rsidP="000341AC">
      <w:pPr>
        <w:tabs>
          <w:tab w:val="left" w:pos="993"/>
        </w:tabs>
        <w:rPr>
          <w:rFonts w:cs="Arial"/>
          <w:bCs/>
          <w:sz w:val="22"/>
        </w:rPr>
      </w:pPr>
      <w:r w:rsidRPr="000341AC">
        <w:rPr>
          <w:rFonts w:cs="Arial"/>
          <w:bCs/>
          <w:sz w:val="22"/>
        </w:rPr>
        <w:t>Verwaltungskostenbudget</w:t>
      </w:r>
    </w:p>
    <w:p w:rsidR="000341AC" w:rsidRPr="000341AC" w:rsidRDefault="000341AC" w:rsidP="000341AC">
      <w:pPr>
        <w:tabs>
          <w:tab w:val="left" w:pos="993"/>
        </w:tabs>
        <w:rPr>
          <w:rFonts w:cs="Arial"/>
          <w:sz w:val="22"/>
        </w:rPr>
      </w:pPr>
      <w:r w:rsidRPr="000341AC">
        <w:rPr>
          <w:rFonts w:cs="Arial"/>
          <w:sz w:val="22"/>
        </w:rPr>
        <w:t xml:space="preserve">Vorläufige Zuteilung BMAS: </w:t>
      </w:r>
      <w:r w:rsidRPr="000341AC">
        <w:rPr>
          <w:rFonts w:cs="Arial"/>
          <w:sz w:val="22"/>
        </w:rPr>
        <w:tab/>
      </w:r>
      <w:r w:rsidRPr="000341AC">
        <w:rPr>
          <w:rFonts w:cs="Arial"/>
          <w:sz w:val="22"/>
        </w:rPr>
        <w:tab/>
        <w:t>2.814.252,00 € (+ 45.445 € ggü. 2025)</w:t>
      </w:r>
    </w:p>
    <w:p w:rsidR="000341AC" w:rsidRPr="000341AC" w:rsidRDefault="000341AC" w:rsidP="000341AC">
      <w:pPr>
        <w:tabs>
          <w:tab w:val="left" w:pos="993"/>
        </w:tabs>
        <w:rPr>
          <w:rFonts w:cs="Arial"/>
          <w:sz w:val="22"/>
        </w:rPr>
      </w:pPr>
      <w:r w:rsidRPr="000341AC">
        <w:rPr>
          <w:rFonts w:cs="Arial"/>
          <w:sz w:val="22"/>
        </w:rPr>
        <w:t xml:space="preserve">+ Kommunaler Finanzierungsanteil:   </w:t>
      </w:r>
      <w:r w:rsidRPr="000341AC">
        <w:rPr>
          <w:rFonts w:cs="Arial"/>
          <w:sz w:val="22"/>
        </w:rPr>
        <w:tab/>
        <w:t xml:space="preserve">   663.237,68 €    </w:t>
      </w:r>
    </w:p>
    <w:p w:rsidR="000341AC" w:rsidRPr="000341AC" w:rsidRDefault="000341AC" w:rsidP="000341AC">
      <w:pPr>
        <w:tabs>
          <w:tab w:val="left" w:pos="993"/>
        </w:tabs>
        <w:rPr>
          <w:rFonts w:cs="Arial"/>
          <w:sz w:val="22"/>
        </w:rPr>
      </w:pPr>
      <w:r w:rsidRPr="000341AC">
        <w:rPr>
          <w:rFonts w:cs="Arial"/>
          <w:sz w:val="22"/>
        </w:rPr>
        <w:t>+ Umschichtung aus Eingliederungsb.:</w:t>
      </w:r>
      <w:r w:rsidRPr="000341AC">
        <w:rPr>
          <w:rFonts w:cs="Arial"/>
          <w:sz w:val="22"/>
        </w:rPr>
        <w:tab/>
        <w:t xml:space="preserve">   793.500,00 € </w:t>
      </w:r>
    </w:p>
    <w:p w:rsidR="000341AC" w:rsidRPr="000341AC" w:rsidRDefault="000341AC" w:rsidP="000341AC">
      <w:pPr>
        <w:tabs>
          <w:tab w:val="left" w:pos="993"/>
        </w:tabs>
        <w:rPr>
          <w:rFonts w:cs="Arial"/>
          <w:b/>
          <w:sz w:val="22"/>
        </w:rPr>
      </w:pPr>
      <w:r w:rsidRPr="000341AC">
        <w:rPr>
          <w:rFonts w:cs="Arial"/>
          <w:b/>
          <w:sz w:val="22"/>
        </w:rPr>
        <w:t>insgesamt:</w:t>
      </w:r>
      <w:r w:rsidRPr="000341AC">
        <w:rPr>
          <w:rFonts w:cs="Arial"/>
          <w:b/>
          <w:sz w:val="22"/>
        </w:rPr>
        <w:tab/>
      </w:r>
      <w:r w:rsidRPr="000341AC">
        <w:rPr>
          <w:rFonts w:cs="Arial"/>
          <w:b/>
          <w:sz w:val="22"/>
        </w:rPr>
        <w:tab/>
      </w:r>
      <w:r w:rsidRPr="000341AC">
        <w:rPr>
          <w:rFonts w:cs="Arial"/>
          <w:b/>
          <w:sz w:val="22"/>
        </w:rPr>
        <w:tab/>
      </w:r>
      <w:r w:rsidRPr="000341AC">
        <w:rPr>
          <w:rFonts w:cs="Arial"/>
          <w:b/>
          <w:sz w:val="22"/>
        </w:rPr>
        <w:tab/>
      </w:r>
      <w:r w:rsidRPr="000341AC">
        <w:rPr>
          <w:rFonts w:cs="Arial"/>
          <w:b/>
          <w:sz w:val="22"/>
        </w:rPr>
        <w:tab/>
        <w:t>4.270.989,68 €</w:t>
      </w:r>
    </w:p>
    <w:p w:rsidR="000341AC" w:rsidRPr="000341AC" w:rsidRDefault="000341AC" w:rsidP="000341AC">
      <w:pPr>
        <w:tabs>
          <w:tab w:val="left" w:pos="993"/>
        </w:tabs>
        <w:rPr>
          <w:rFonts w:cs="Arial"/>
          <w:bCs/>
          <w:sz w:val="22"/>
        </w:rPr>
      </w:pPr>
    </w:p>
    <w:p w:rsidR="000341AC" w:rsidRPr="000341AC" w:rsidRDefault="000341AC" w:rsidP="000341AC">
      <w:pPr>
        <w:tabs>
          <w:tab w:val="left" w:pos="993"/>
        </w:tabs>
        <w:rPr>
          <w:rFonts w:cs="Arial"/>
          <w:bCs/>
          <w:sz w:val="22"/>
        </w:rPr>
      </w:pPr>
      <w:r w:rsidRPr="000341AC">
        <w:rPr>
          <w:rFonts w:cs="Arial"/>
          <w:bCs/>
          <w:sz w:val="22"/>
        </w:rPr>
        <w:t>Eingliederungsbudget</w:t>
      </w:r>
    </w:p>
    <w:p w:rsidR="000341AC" w:rsidRPr="000341AC" w:rsidRDefault="000341AC" w:rsidP="000341AC">
      <w:pPr>
        <w:tabs>
          <w:tab w:val="left" w:pos="993"/>
        </w:tabs>
        <w:rPr>
          <w:rFonts w:cs="Arial"/>
          <w:sz w:val="22"/>
        </w:rPr>
      </w:pPr>
      <w:r w:rsidRPr="000341AC">
        <w:rPr>
          <w:rFonts w:cs="Arial"/>
          <w:sz w:val="22"/>
        </w:rPr>
        <w:t xml:space="preserve">Vorläufige Zuteilung BMAS: </w:t>
      </w:r>
      <w:r w:rsidRPr="000341AC">
        <w:rPr>
          <w:rFonts w:cs="Arial"/>
          <w:sz w:val="22"/>
        </w:rPr>
        <w:tab/>
      </w:r>
      <w:r w:rsidRPr="000341AC">
        <w:rPr>
          <w:rFonts w:cs="Arial"/>
          <w:sz w:val="22"/>
        </w:rPr>
        <w:tab/>
        <w:t>2.092.963,00 € (+ 241.840 € ggü. 2025)</w:t>
      </w:r>
    </w:p>
    <w:p w:rsidR="000341AC" w:rsidRPr="000341AC" w:rsidRDefault="000341AC" w:rsidP="000341AC">
      <w:pPr>
        <w:tabs>
          <w:tab w:val="left" w:pos="993"/>
        </w:tabs>
        <w:rPr>
          <w:rFonts w:cs="Arial"/>
          <w:sz w:val="22"/>
        </w:rPr>
      </w:pPr>
      <w:r w:rsidRPr="000341AC">
        <w:rPr>
          <w:rFonts w:cs="Arial"/>
          <w:sz w:val="22"/>
        </w:rPr>
        <w:t xml:space="preserve">./. Umschichtung in Verw.kostenb.: </w:t>
      </w:r>
      <w:r w:rsidRPr="000341AC">
        <w:rPr>
          <w:rFonts w:cs="Arial"/>
          <w:sz w:val="22"/>
        </w:rPr>
        <w:tab/>
        <w:t xml:space="preserve">   793.500,00 €</w:t>
      </w:r>
    </w:p>
    <w:p w:rsidR="000341AC" w:rsidRPr="000341AC" w:rsidRDefault="000341AC" w:rsidP="000341AC">
      <w:pPr>
        <w:tabs>
          <w:tab w:val="left" w:pos="993"/>
        </w:tabs>
        <w:rPr>
          <w:rFonts w:cs="Arial"/>
          <w:sz w:val="22"/>
        </w:rPr>
      </w:pPr>
      <w:r w:rsidRPr="000341AC">
        <w:rPr>
          <w:rFonts w:cs="Arial"/>
          <w:sz w:val="22"/>
        </w:rPr>
        <w:t>./. Bindungen:</w:t>
      </w:r>
      <w:r w:rsidRPr="000341AC">
        <w:rPr>
          <w:rFonts w:cs="Arial"/>
          <w:sz w:val="22"/>
        </w:rPr>
        <w:tab/>
      </w:r>
      <w:r w:rsidRPr="000341AC">
        <w:rPr>
          <w:rFonts w:cs="Arial"/>
          <w:sz w:val="22"/>
        </w:rPr>
        <w:tab/>
      </w:r>
      <w:r w:rsidRPr="000341AC">
        <w:rPr>
          <w:rFonts w:cs="Arial"/>
          <w:sz w:val="22"/>
        </w:rPr>
        <w:tab/>
      </w:r>
      <w:r w:rsidRPr="000341AC">
        <w:rPr>
          <w:rFonts w:cs="Arial"/>
          <w:sz w:val="22"/>
        </w:rPr>
        <w:tab/>
        <w:t xml:space="preserve">   188.311,00 €   </w:t>
      </w:r>
    </w:p>
    <w:p w:rsidR="000341AC" w:rsidRPr="000341AC" w:rsidRDefault="000341AC" w:rsidP="000341AC">
      <w:pPr>
        <w:tabs>
          <w:tab w:val="left" w:pos="993"/>
        </w:tabs>
        <w:rPr>
          <w:rFonts w:cs="Arial"/>
          <w:b/>
          <w:sz w:val="22"/>
        </w:rPr>
      </w:pPr>
      <w:r w:rsidRPr="000341AC">
        <w:rPr>
          <w:rFonts w:cs="Arial"/>
          <w:b/>
          <w:sz w:val="22"/>
        </w:rPr>
        <w:t>für Neugeschäft:</w:t>
      </w:r>
      <w:r w:rsidRPr="000341AC">
        <w:rPr>
          <w:rFonts w:cs="Arial"/>
          <w:b/>
          <w:sz w:val="22"/>
        </w:rPr>
        <w:tab/>
      </w:r>
      <w:r w:rsidRPr="000341AC">
        <w:rPr>
          <w:rFonts w:cs="Arial"/>
          <w:b/>
          <w:sz w:val="22"/>
        </w:rPr>
        <w:tab/>
        <w:t xml:space="preserve">      </w:t>
      </w:r>
      <w:r w:rsidRPr="000341AC">
        <w:rPr>
          <w:rFonts w:cs="Arial"/>
          <w:b/>
          <w:sz w:val="22"/>
        </w:rPr>
        <w:tab/>
        <w:t xml:space="preserve">           1.111.152,00 €</w:t>
      </w:r>
    </w:p>
    <w:p w:rsidR="000341AC" w:rsidRPr="000341AC" w:rsidRDefault="000341AC" w:rsidP="000341AC">
      <w:pPr>
        <w:tabs>
          <w:tab w:val="left" w:pos="993"/>
        </w:tabs>
        <w:rPr>
          <w:rFonts w:cs="Arial"/>
          <w:b/>
          <w:sz w:val="22"/>
        </w:rPr>
      </w:pPr>
      <w:r w:rsidRPr="000341AC">
        <w:rPr>
          <w:rFonts w:cs="Arial"/>
          <w:b/>
          <w:sz w:val="22"/>
        </w:rPr>
        <w:t xml:space="preserve">            </w:t>
      </w:r>
    </w:p>
    <w:p w:rsidR="000341AC" w:rsidRPr="000341AC" w:rsidRDefault="000341AC" w:rsidP="000341AC">
      <w:pPr>
        <w:tabs>
          <w:tab w:val="left" w:pos="993"/>
        </w:tabs>
        <w:rPr>
          <w:rFonts w:cs="Arial"/>
          <w:sz w:val="22"/>
        </w:rPr>
      </w:pPr>
      <w:r w:rsidRPr="000341AC">
        <w:rPr>
          <w:rFonts w:cs="Arial"/>
          <w:sz w:val="22"/>
        </w:rPr>
        <w:lastRenderedPageBreak/>
        <w:t>Damit stehen im kommenden Haushaltsjahr ausreichend finanzielle Ressourcen zur Verfügung, um die Leistungsberechtigten aller Zielgruppen adäquat bei der Eingliederung in Arbeit zu unterstützen. Auch erfolgt kein Personalabbau.</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u w:val="single"/>
        </w:rPr>
      </w:pPr>
      <w:r w:rsidRPr="000341AC">
        <w:rPr>
          <w:rFonts w:cs="Arial"/>
          <w:sz w:val="22"/>
        </w:rPr>
        <w:t>Entwicklung Bestandszahlen im SGB II</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r w:rsidRPr="000341AC">
        <w:rPr>
          <w:rFonts w:cs="Arial"/>
          <w:sz w:val="22"/>
        </w:rPr>
        <w:t xml:space="preserve">Die </w:t>
      </w:r>
      <w:r w:rsidRPr="000341AC">
        <w:rPr>
          <w:rFonts w:cs="Arial"/>
          <w:b/>
          <w:sz w:val="22"/>
        </w:rPr>
        <w:t xml:space="preserve">Zahl der erwerbsfähigen Leistungsberechtigten </w:t>
      </w:r>
      <w:r w:rsidRPr="000341AC">
        <w:rPr>
          <w:rFonts w:cs="Arial"/>
          <w:bCs/>
          <w:sz w:val="22"/>
        </w:rPr>
        <w:t>(eLbs)</w:t>
      </w:r>
      <w:r w:rsidRPr="000341AC">
        <w:rPr>
          <w:rFonts w:cs="Arial"/>
          <w:b/>
          <w:sz w:val="22"/>
        </w:rPr>
        <w:t xml:space="preserve"> </w:t>
      </w:r>
      <w:r w:rsidRPr="000341AC">
        <w:rPr>
          <w:rFonts w:cs="Arial"/>
          <w:sz w:val="22"/>
        </w:rPr>
        <w:t>ist im Jahresverlauf 2025 kontinuierlich gestiegen – von 2004 im Januar auf voraussichtlich ca. 2090 im Dezember 2025. Hauptsächlich waren es ukrainische Flüchtlinge, die den Zuwachs ausmachen. Auch in 2026 rechnen wir mit einem leichten Zuwachs. Allerdings könnte es durch den geplanten Rechtskreiswechsel der Ukrainer in das Asylbewerberleistungsrecht zu einer Reduzierung der Fallzahlen kommen. Die Entscheidung des Gesetzgebers bleibt abzuwarten.</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r w:rsidRPr="000341AC">
        <w:rPr>
          <w:rFonts w:cs="Arial"/>
          <w:sz w:val="22"/>
        </w:rPr>
        <w:t>Es werden monatlich 100 bis 120 Neuanträge auf Bürgergeld gestellt. Deren umfassende Prüfung verursacht einen erhöhten Arbeitsaufwand im Jobcenter, auch wenn letztlich nur etwa 65 Prozent der Anträge tatsächlich bewilligt werden. Die anderen Antragsteller haben entweder keinen Leistungsanspruch oder sie reichen die erforderlichen Unterlagen nicht vollständig ein.</w:t>
      </w:r>
    </w:p>
    <w:p w:rsidR="000341AC" w:rsidRPr="000341AC" w:rsidRDefault="000341AC" w:rsidP="000341AC">
      <w:pPr>
        <w:tabs>
          <w:tab w:val="left" w:pos="993"/>
        </w:tabs>
        <w:rPr>
          <w:rFonts w:cs="Arial"/>
          <w:b/>
          <w:sz w:val="22"/>
        </w:rPr>
      </w:pPr>
    </w:p>
    <w:p w:rsidR="000341AC" w:rsidRPr="000341AC" w:rsidRDefault="000341AC" w:rsidP="000341AC">
      <w:pPr>
        <w:tabs>
          <w:tab w:val="left" w:pos="993"/>
        </w:tabs>
        <w:rPr>
          <w:rFonts w:cs="Arial"/>
          <w:b/>
          <w:sz w:val="22"/>
        </w:rPr>
      </w:pPr>
      <w:r w:rsidRPr="000341AC">
        <w:rPr>
          <w:rFonts w:cs="Arial"/>
          <w:b/>
          <w:sz w:val="22"/>
        </w:rPr>
        <w:t xml:space="preserve">Bedarfsgemeinschaften und erwerbsfähige Leistungsberechtigte </w:t>
      </w:r>
    </w:p>
    <w:p w:rsidR="000341AC" w:rsidRPr="000341AC" w:rsidRDefault="000341AC" w:rsidP="000341AC">
      <w:pPr>
        <w:tabs>
          <w:tab w:val="left" w:pos="993"/>
        </w:tabs>
        <w:rPr>
          <w:rFonts w:cs="Arial"/>
          <w:sz w:val="22"/>
        </w:rPr>
      </w:pPr>
      <w:r w:rsidRPr="000341AC">
        <w:rPr>
          <w:rFonts w:cs="Arial"/>
          <w:sz w:val="22"/>
        </w:rPr>
        <w:drawing>
          <wp:inline distT="0" distB="0" distL="0" distR="0" wp14:anchorId="43B3A924" wp14:editId="5E6CA078">
            <wp:extent cx="5039995" cy="2045335"/>
            <wp:effectExtent l="0" t="0" r="8255" b="12065"/>
            <wp:docPr id="7" name="Diagramm 7">
              <a:extLst xmlns:a="http://schemas.openxmlformats.org/drawingml/2006/main">
                <a:ext uri="{FF2B5EF4-FFF2-40B4-BE49-F238E27FC236}">
                  <a16:creationId xmlns:a16="http://schemas.microsoft.com/office/drawing/2014/main" id="{B80071BC-5A1A-4D0E-912A-61F16EAF4B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41AC" w:rsidRPr="000341AC" w:rsidRDefault="000341AC" w:rsidP="000341AC">
      <w:pPr>
        <w:tabs>
          <w:tab w:val="left" w:pos="993"/>
        </w:tabs>
        <w:rPr>
          <w:rFonts w:cs="Arial"/>
          <w:sz w:val="22"/>
        </w:rPr>
      </w:pPr>
      <w:r w:rsidRPr="000341AC">
        <w:rPr>
          <w:rFonts w:cs="Arial"/>
          <w:sz w:val="22"/>
        </w:rPr>
        <w:t>Quelle: BA-Statistik-Service   Bedarfsgemeinschaften – erwerbsfähige Leistungsber.</w:t>
      </w:r>
    </w:p>
    <w:p w:rsidR="000341AC" w:rsidRPr="000341AC" w:rsidRDefault="000341AC" w:rsidP="000341AC">
      <w:pPr>
        <w:tabs>
          <w:tab w:val="left" w:pos="993"/>
        </w:tabs>
        <w:rPr>
          <w:rFonts w:cs="Arial"/>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Pr="000341AC" w:rsidRDefault="000341AC" w:rsidP="000341AC">
      <w:pPr>
        <w:tabs>
          <w:tab w:val="left" w:pos="993"/>
        </w:tabs>
        <w:rPr>
          <w:rFonts w:cs="Arial"/>
          <w:b/>
          <w:sz w:val="22"/>
        </w:rPr>
      </w:pPr>
      <w:r w:rsidRPr="000341AC">
        <w:rPr>
          <w:rFonts w:cs="Arial"/>
          <w:b/>
          <w:sz w:val="22"/>
        </w:rPr>
        <w:t xml:space="preserve">Ausländische erwerbsfähige Leistungsberechtigte nach Staaten </w:t>
      </w:r>
    </w:p>
    <w:p w:rsidR="000341AC" w:rsidRPr="000341AC" w:rsidRDefault="000341AC" w:rsidP="000341AC">
      <w:pPr>
        <w:tabs>
          <w:tab w:val="left" w:pos="993"/>
        </w:tabs>
        <w:rPr>
          <w:rFonts w:cs="Arial"/>
          <w:b/>
          <w:sz w:val="22"/>
        </w:rPr>
      </w:pPr>
      <w:r w:rsidRPr="000341AC">
        <w:rPr>
          <w:rFonts w:cs="Arial"/>
          <w:b/>
          <w:sz w:val="22"/>
        </w:rPr>
        <w:drawing>
          <wp:inline distT="0" distB="0" distL="0" distR="0" wp14:anchorId="085505FF" wp14:editId="40D3B86A">
            <wp:extent cx="5238750" cy="2940050"/>
            <wp:effectExtent l="0" t="0" r="0" b="12700"/>
            <wp:docPr id="12" name="Diagram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r w:rsidRPr="000341AC">
        <w:rPr>
          <w:rFonts w:cs="Arial"/>
          <w:sz w:val="22"/>
        </w:rPr>
        <w:t>Arbeitslosigkeit und Arbeitsaufnahmen im SGB II</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sz w:val="22"/>
        </w:rPr>
      </w:pPr>
      <w:r w:rsidRPr="000341AC">
        <w:rPr>
          <w:rFonts w:cs="Arial"/>
          <w:sz w:val="22"/>
        </w:rPr>
        <w:t xml:space="preserve">Die </w:t>
      </w:r>
      <w:r w:rsidRPr="000341AC">
        <w:rPr>
          <w:rFonts w:cs="Arial"/>
          <w:b/>
          <w:sz w:val="22"/>
        </w:rPr>
        <w:t>Zahl der Arbeitslosen</w:t>
      </w:r>
      <w:r w:rsidRPr="000341AC">
        <w:rPr>
          <w:rFonts w:cs="Arial"/>
          <w:sz w:val="22"/>
        </w:rPr>
        <w:t xml:space="preserve"> </w:t>
      </w:r>
      <w:r w:rsidRPr="000341AC">
        <w:rPr>
          <w:rFonts w:cs="Arial"/>
          <w:b/>
          <w:bCs/>
          <w:sz w:val="22"/>
        </w:rPr>
        <w:t>in der Grundsicherung</w:t>
      </w:r>
      <w:r w:rsidRPr="000341AC">
        <w:rPr>
          <w:rFonts w:cs="Arial"/>
          <w:sz w:val="22"/>
        </w:rPr>
        <w:t xml:space="preserve"> </w:t>
      </w:r>
      <w:r w:rsidRPr="000341AC">
        <w:rPr>
          <w:rFonts w:cs="Arial"/>
          <w:bCs/>
          <w:sz w:val="22"/>
        </w:rPr>
        <w:t>im Landkreis Erding</w:t>
      </w:r>
      <w:r w:rsidRPr="000341AC">
        <w:rPr>
          <w:rFonts w:cs="Arial"/>
          <w:sz w:val="22"/>
        </w:rPr>
        <w:t xml:space="preserve"> im Oktober 2025 hat sich im Vergleich zum Vorjahresmonat </w:t>
      </w:r>
      <w:r w:rsidRPr="000341AC">
        <w:rPr>
          <w:rFonts w:cs="Arial"/>
          <w:b/>
          <w:sz w:val="22"/>
        </w:rPr>
        <w:t xml:space="preserve">um gut 21 Prozent erhöht. </w:t>
      </w:r>
      <w:r w:rsidRPr="000341AC">
        <w:rPr>
          <w:rFonts w:cs="Arial"/>
          <w:bCs/>
          <w:sz w:val="22"/>
        </w:rPr>
        <w:t>Auch</w:t>
      </w:r>
      <w:r w:rsidRPr="000341AC">
        <w:rPr>
          <w:rFonts w:cs="Arial"/>
          <w:b/>
          <w:sz w:val="22"/>
        </w:rPr>
        <w:t xml:space="preserve"> </w:t>
      </w:r>
      <w:r w:rsidRPr="000341AC">
        <w:rPr>
          <w:rFonts w:cs="Arial"/>
          <w:bCs/>
          <w:sz w:val="22"/>
        </w:rPr>
        <w:t xml:space="preserve">hier </w:t>
      </w:r>
      <w:r w:rsidRPr="000341AC">
        <w:rPr>
          <w:rFonts w:cs="Arial"/>
          <w:sz w:val="22"/>
        </w:rPr>
        <w:t xml:space="preserve">sind es die zugewanderten Ukrainer, die sich auswirken. Das </w:t>
      </w:r>
      <w:r w:rsidRPr="000341AC">
        <w:rPr>
          <w:rFonts w:cs="Arial"/>
          <w:bCs/>
          <w:sz w:val="22"/>
        </w:rPr>
        <w:t>Jobcenter ARUSO Erding</w:t>
      </w:r>
      <w:r w:rsidRPr="000341AC">
        <w:rPr>
          <w:rFonts w:cs="Arial"/>
          <w:sz w:val="22"/>
        </w:rPr>
        <w:t xml:space="preserve"> steht mit einer immer noch stabilen Arbeitslosenquote von </w:t>
      </w:r>
      <w:r w:rsidRPr="000341AC">
        <w:rPr>
          <w:rFonts w:cs="Arial"/>
          <w:b/>
          <w:sz w:val="22"/>
        </w:rPr>
        <w:t>0,9 Prozent</w:t>
      </w:r>
      <w:r w:rsidRPr="000341AC">
        <w:rPr>
          <w:rFonts w:cs="Arial"/>
          <w:sz w:val="22"/>
        </w:rPr>
        <w:t xml:space="preserve"> im Vergleich sehr gut dar. 2026 rechnen wir erneut mit einem leichten Anstieg der Zahl der Arbeitslosen.</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b/>
          <w:sz w:val="22"/>
        </w:rPr>
      </w:pPr>
      <w:r w:rsidRPr="000341AC">
        <w:rPr>
          <w:rFonts w:cs="Arial"/>
          <w:b/>
          <w:sz w:val="22"/>
        </w:rPr>
        <w:drawing>
          <wp:inline distT="0" distB="0" distL="0" distR="0" wp14:anchorId="15569DDE" wp14:editId="36F2FB95">
            <wp:extent cx="5039995" cy="2315845"/>
            <wp:effectExtent l="0" t="0" r="8255" b="8255"/>
            <wp:docPr id="9" name="Diagramm 9">
              <a:extLst xmlns:a="http://schemas.openxmlformats.org/drawingml/2006/main">
                <a:ext uri="{FF2B5EF4-FFF2-40B4-BE49-F238E27FC236}">
                  <a16:creationId xmlns:a16="http://schemas.microsoft.com/office/drawing/2014/main" id="{EF8D4127-8579-4579-07CF-B3053EDAB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341AC" w:rsidRPr="000341AC" w:rsidRDefault="000341AC" w:rsidP="000341AC">
      <w:pPr>
        <w:tabs>
          <w:tab w:val="left" w:pos="993"/>
        </w:tabs>
        <w:rPr>
          <w:rFonts w:cs="Arial"/>
          <w:b/>
          <w:sz w:val="22"/>
        </w:rPr>
      </w:pPr>
      <w:r w:rsidRPr="000341AC">
        <w:rPr>
          <w:rFonts w:cs="Arial"/>
          <w:sz w:val="22"/>
        </w:rPr>
        <w:t xml:space="preserve">Quelle: BA-Statistik-Service     </w:t>
      </w:r>
      <w:r w:rsidRPr="000341AC">
        <w:rPr>
          <w:rFonts w:cs="Arial"/>
          <w:b/>
          <w:sz w:val="22"/>
        </w:rPr>
        <w:t xml:space="preserve">ALO SGB III   ALO SGB II    </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b/>
          <w:sz w:val="22"/>
        </w:rPr>
      </w:pPr>
    </w:p>
    <w:p w:rsidR="000341AC" w:rsidRPr="000341AC" w:rsidRDefault="000341AC" w:rsidP="000341AC">
      <w:pPr>
        <w:tabs>
          <w:tab w:val="left" w:pos="993"/>
        </w:tabs>
        <w:rPr>
          <w:rFonts w:cs="Arial"/>
          <w:b/>
          <w:sz w:val="22"/>
        </w:rPr>
      </w:pPr>
    </w:p>
    <w:p w:rsidR="000341AC" w:rsidRDefault="000341AC" w:rsidP="000341AC">
      <w:pPr>
        <w:tabs>
          <w:tab w:val="left" w:pos="993"/>
        </w:tabs>
        <w:rPr>
          <w:rFonts w:cs="Arial"/>
          <w:b/>
          <w:sz w:val="22"/>
        </w:rPr>
      </w:pPr>
    </w:p>
    <w:p w:rsidR="000341AC" w:rsidRPr="000341AC" w:rsidRDefault="000341AC" w:rsidP="000341AC">
      <w:pPr>
        <w:tabs>
          <w:tab w:val="left" w:pos="993"/>
        </w:tabs>
        <w:rPr>
          <w:rFonts w:cs="Arial"/>
          <w:b/>
          <w:sz w:val="22"/>
        </w:rPr>
      </w:pPr>
      <w:bookmarkStart w:id="3" w:name="_GoBack"/>
      <w:bookmarkEnd w:id="3"/>
      <w:r w:rsidRPr="000341AC">
        <w:rPr>
          <w:rFonts w:cs="Arial"/>
          <w:b/>
          <w:sz w:val="22"/>
        </w:rPr>
        <w:lastRenderedPageBreak/>
        <w:t>Bestand an Arbeitslosen nach Personengruppen – Oktober 2025</w:t>
      </w:r>
    </w:p>
    <w:p w:rsidR="000341AC" w:rsidRPr="000341AC" w:rsidRDefault="000341AC" w:rsidP="000341AC">
      <w:pPr>
        <w:tabs>
          <w:tab w:val="left" w:pos="993"/>
        </w:tabs>
        <w:rPr>
          <w:rFonts w:cs="Arial"/>
          <w:b/>
          <w:sz w:val="22"/>
        </w:rPr>
      </w:pPr>
      <w:r w:rsidRPr="000341AC">
        <w:rPr>
          <w:rFonts w:cs="Arial"/>
          <w:b/>
          <w:sz w:val="22"/>
        </w:rPr>
        <w:drawing>
          <wp:inline distT="0" distB="0" distL="0" distR="0" wp14:anchorId="22AA43DE" wp14:editId="78FA7316">
            <wp:extent cx="5039995" cy="2940050"/>
            <wp:effectExtent l="0" t="0" r="8255" b="12700"/>
            <wp:docPr id="8" name="Diagram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41AC" w:rsidRPr="000341AC" w:rsidRDefault="000341AC" w:rsidP="000341AC">
      <w:pPr>
        <w:tabs>
          <w:tab w:val="left" w:pos="993"/>
        </w:tabs>
        <w:rPr>
          <w:rFonts w:cs="Arial"/>
          <w:sz w:val="22"/>
        </w:rPr>
      </w:pPr>
      <w:r w:rsidRPr="000341AC">
        <w:rPr>
          <w:rFonts w:cs="Arial"/>
          <w:sz w:val="22"/>
        </w:rPr>
        <w:t xml:space="preserve">Quelle: BA-Statistik-Service   </w:t>
      </w:r>
    </w:p>
    <w:p w:rsidR="000341AC" w:rsidRPr="000341AC" w:rsidRDefault="000341AC" w:rsidP="000341AC">
      <w:pPr>
        <w:tabs>
          <w:tab w:val="left" w:pos="993"/>
        </w:tabs>
        <w:rPr>
          <w:rFonts w:cs="Arial"/>
          <w:b/>
          <w:sz w:val="22"/>
        </w:rPr>
      </w:pPr>
    </w:p>
    <w:p w:rsidR="000341AC" w:rsidRPr="000341AC" w:rsidRDefault="000341AC" w:rsidP="000341AC">
      <w:pPr>
        <w:tabs>
          <w:tab w:val="left" w:pos="993"/>
        </w:tabs>
        <w:rPr>
          <w:rFonts w:cs="Arial"/>
          <w:sz w:val="22"/>
        </w:rPr>
      </w:pPr>
      <w:r w:rsidRPr="000341AC">
        <w:rPr>
          <w:rFonts w:cs="Arial"/>
          <w:b/>
          <w:sz w:val="22"/>
        </w:rPr>
        <w:t>Die Integrationsquote</w:t>
      </w:r>
      <w:r w:rsidRPr="000341AC">
        <w:rPr>
          <w:rFonts w:cs="Arial"/>
          <w:sz w:val="22"/>
        </w:rPr>
        <w:t xml:space="preserve"> (IQ) gesamt liegt mit 23,7 Prozent im Oktober 2025 gut 6 Prozent unter dem Vorjahreswert. Verschlechtert hat sich die IQ sowohl bei den Männern (- 10,4 Prozent) als auch bei den Frauen (- 2,2 Prozent). Die IQ bei den Flüchtlingen aus den sog. 8 Herkunftsländern ist ggü. dem Vorjahr gestiegen auf 33,6 Prozent. Die IQ bei den Ukrainern ist nach dem „Job-Turbo“ im letzten Jahr wieder gesunken auf aktuell 17,7 Prozent.  </w:t>
      </w:r>
    </w:p>
    <w:p w:rsidR="000341AC" w:rsidRPr="000341AC" w:rsidRDefault="000341AC" w:rsidP="000341AC">
      <w:pPr>
        <w:tabs>
          <w:tab w:val="left" w:pos="993"/>
        </w:tabs>
        <w:rPr>
          <w:rFonts w:cs="Arial"/>
          <w:sz w:val="22"/>
        </w:rPr>
      </w:pPr>
    </w:p>
    <w:p w:rsidR="000341AC" w:rsidRPr="000341AC" w:rsidRDefault="000341AC" w:rsidP="000341AC">
      <w:pPr>
        <w:tabs>
          <w:tab w:val="left" w:pos="993"/>
        </w:tabs>
        <w:rPr>
          <w:rFonts w:cs="Arial"/>
          <w:b/>
          <w:sz w:val="22"/>
        </w:rPr>
      </w:pPr>
      <w:r w:rsidRPr="000341AC">
        <w:rPr>
          <w:rFonts w:cs="Arial"/>
          <w:b/>
          <w:sz w:val="22"/>
        </w:rPr>
        <w:t>Integrationen - Oktober 2025</w:t>
      </w:r>
    </w:p>
    <w:p w:rsidR="000341AC" w:rsidRPr="000341AC" w:rsidRDefault="000341AC" w:rsidP="000341AC">
      <w:pPr>
        <w:tabs>
          <w:tab w:val="left" w:pos="993"/>
        </w:tabs>
        <w:rPr>
          <w:rFonts w:cs="Arial"/>
          <w:b/>
          <w:sz w:val="22"/>
        </w:rPr>
      </w:pPr>
    </w:p>
    <w:p w:rsidR="000341AC" w:rsidRPr="000341AC" w:rsidRDefault="000341AC" w:rsidP="000341AC">
      <w:pPr>
        <w:tabs>
          <w:tab w:val="left" w:pos="993"/>
        </w:tabs>
        <w:rPr>
          <w:rFonts w:cs="Arial"/>
          <w:sz w:val="22"/>
        </w:rPr>
      </w:pPr>
      <w:r w:rsidRPr="000341AC">
        <w:rPr>
          <w:rFonts w:cs="Arial"/>
          <w:b/>
          <w:sz w:val="22"/>
        </w:rPr>
        <w:drawing>
          <wp:inline distT="0" distB="0" distL="0" distR="0" wp14:anchorId="3B1E1239" wp14:editId="0BADD8AC">
            <wp:extent cx="5039995" cy="2971800"/>
            <wp:effectExtent l="0" t="0" r="8255" b="0"/>
            <wp:docPr id="11" name="Diagram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341AC" w:rsidRPr="000341AC" w:rsidRDefault="000341AC" w:rsidP="000341AC">
      <w:pPr>
        <w:tabs>
          <w:tab w:val="left" w:pos="993"/>
        </w:tabs>
        <w:rPr>
          <w:rFonts w:cs="Arial"/>
          <w:b/>
          <w:sz w:val="22"/>
        </w:rPr>
      </w:pPr>
    </w:p>
    <w:p w:rsidR="000341AC" w:rsidRPr="000341AC" w:rsidRDefault="000341AC" w:rsidP="000341AC">
      <w:pPr>
        <w:tabs>
          <w:tab w:val="left" w:pos="993"/>
        </w:tabs>
        <w:rPr>
          <w:rFonts w:cs="Arial"/>
          <w:sz w:val="22"/>
        </w:rPr>
      </w:pPr>
      <w:r w:rsidRPr="000341AC">
        <w:rPr>
          <w:rFonts w:cs="Arial"/>
          <w:sz w:val="22"/>
        </w:rPr>
        <w:t xml:space="preserve">Quelle: BA-Statistik-Service   </w:t>
      </w:r>
    </w:p>
    <w:p w:rsidR="00FA773D" w:rsidRPr="00FA773D" w:rsidRDefault="00FA773D" w:rsidP="00FA773D">
      <w:pPr>
        <w:tabs>
          <w:tab w:val="left" w:pos="993"/>
        </w:tabs>
        <w:rPr>
          <w:rFonts w:cs="Arial"/>
          <w:sz w:val="22"/>
        </w:rPr>
      </w:pPr>
    </w:p>
    <w:p w:rsidR="006F7B71" w:rsidRDefault="006F7B71" w:rsidP="009B49A3">
      <w:pPr>
        <w:tabs>
          <w:tab w:val="left" w:pos="993"/>
        </w:tabs>
        <w:rPr>
          <w:rFonts w:cs="Arial"/>
          <w:sz w:val="22"/>
        </w:rPr>
      </w:pPr>
    </w:p>
    <w:p w:rsidR="00B73613" w:rsidRPr="001F6DFF" w:rsidRDefault="009558CC" w:rsidP="009B49A3">
      <w:pPr>
        <w:tabs>
          <w:tab w:val="left" w:pos="993"/>
        </w:tabs>
        <w:rPr>
          <w:rFonts w:cs="Arial"/>
          <w:sz w:val="22"/>
        </w:rPr>
      </w:pPr>
      <w:r w:rsidRPr="001F6DFF">
        <w:rPr>
          <w:rFonts w:cs="Arial"/>
          <w:sz w:val="22"/>
        </w:rPr>
        <w:t>Mit freundlichen Grüßen</w:t>
      </w:r>
    </w:p>
    <w:p w:rsidR="006F7B71" w:rsidRPr="001F6DFF" w:rsidRDefault="004E24A9">
      <w:pPr>
        <w:tabs>
          <w:tab w:val="left" w:pos="993"/>
        </w:tabs>
        <w:rPr>
          <w:rFonts w:cs="Arial"/>
          <w:sz w:val="22"/>
        </w:rPr>
      </w:pPr>
      <w:r>
        <w:rPr>
          <w:rFonts w:cs="Arial"/>
          <w:sz w:val="22"/>
        </w:rPr>
        <w:t>Pressestelle des Landkreises Erding</w:t>
      </w:r>
    </w:p>
    <w:sectPr w:rsidR="006F7B71" w:rsidRPr="001F6DFF" w:rsidSect="00A54D5A">
      <w:headerReference w:type="default" r:id="rId15"/>
      <w:headerReference w:type="first" r:id="rId16"/>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0341AC">
      <w:rPr>
        <w:noProof/>
        <w:snapToGrid w:val="0"/>
        <w:sz w:val="18"/>
        <w:szCs w:val="18"/>
      </w:rPr>
      <w:t>4</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0341AC">
      <w:rPr>
        <w:noProof/>
        <w:snapToGrid w:val="0"/>
        <w:sz w:val="18"/>
        <w:szCs w:val="18"/>
      </w:rPr>
      <w:t>4</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70220"/>
    <w:multiLevelType w:val="hybridMultilevel"/>
    <w:tmpl w:val="50228D3C"/>
    <w:lvl w:ilvl="0" w:tplc="C828511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8D6710"/>
    <w:multiLevelType w:val="hybridMultilevel"/>
    <w:tmpl w:val="E912EA22"/>
    <w:lvl w:ilvl="0" w:tplc="B63459BA">
      <w:start w:val="2"/>
      <w:numFmt w:val="bullet"/>
      <w:lvlText w:val="-"/>
      <w:lvlJc w:val="left"/>
      <w:pPr>
        <w:ind w:left="360" w:hanging="360"/>
      </w:pPr>
      <w:rPr>
        <w:rFonts w:ascii="Calibri" w:eastAsia="Calibri" w:hAnsi="Calibri" w:cs="Calibri" w:hint="default"/>
        <w:b w:val="0"/>
        <w:strike w:val="0"/>
        <w:dstrike w:val="0"/>
        <w:u w:val="none"/>
        <w:effect w:val="none"/>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75EC2A3E"/>
    <w:multiLevelType w:val="hybridMultilevel"/>
    <w:tmpl w:val="FF9A4258"/>
    <w:lvl w:ilvl="0" w:tplc="4950D4A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41AC"/>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3E5D"/>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688"/>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6F7B71"/>
    <w:rsid w:val="0070716C"/>
    <w:rsid w:val="00707A15"/>
    <w:rsid w:val="00713641"/>
    <w:rsid w:val="00714F24"/>
    <w:rsid w:val="007150DE"/>
    <w:rsid w:val="007176C1"/>
    <w:rsid w:val="007200AE"/>
    <w:rsid w:val="007223D4"/>
    <w:rsid w:val="007265DC"/>
    <w:rsid w:val="0073159E"/>
    <w:rsid w:val="00732876"/>
    <w:rsid w:val="007331AB"/>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262E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166C8"/>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40A0"/>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0622"/>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4B07"/>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A773D"/>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19151114">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60239508">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675612518">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56055803">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07487663">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091271747">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176308376">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46866370">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Arbeitsblatt1.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Arbeitsblatt2.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Arbeitsblat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39752530933634"/>
          <c:y val="0.1248442354599668"/>
          <c:w val="0.87753018372703417"/>
          <c:h val="0.61498432487605714"/>
        </c:manualLayout>
      </c:layout>
      <c:barChart>
        <c:barDir val="col"/>
        <c:grouping val="clustered"/>
        <c:varyColors val="0"/>
        <c:ser>
          <c:idx val="0"/>
          <c:order val="0"/>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'[Zeitreihe BGs_eLbs.xlsx]nur Erding'!$IG$1:$IN$1</c:f>
              <c:numCache>
                <c:formatCode>mmm\-yy</c:formatCode>
                <c:ptCount val="8"/>
                <c:pt idx="0">
                  <c:v>45627</c:v>
                </c:pt>
                <c:pt idx="1">
                  <c:v>45658</c:v>
                </c:pt>
                <c:pt idx="2">
                  <c:v>45689</c:v>
                </c:pt>
                <c:pt idx="3">
                  <c:v>45717</c:v>
                </c:pt>
                <c:pt idx="4">
                  <c:v>45748</c:v>
                </c:pt>
                <c:pt idx="5">
                  <c:v>45778</c:v>
                </c:pt>
                <c:pt idx="6">
                  <c:v>45809</c:v>
                </c:pt>
                <c:pt idx="7">
                  <c:v>45839</c:v>
                </c:pt>
              </c:numCache>
            </c:numRef>
          </c:cat>
          <c:val>
            <c:numRef>
              <c:f>'[Zeitreihe BGs_eLbs.xlsx]nur Erding'!$IG$2:$IN$2</c:f>
              <c:numCache>
                <c:formatCode>General</c:formatCode>
                <c:ptCount val="8"/>
                <c:pt idx="0">
                  <c:v>1522</c:v>
                </c:pt>
                <c:pt idx="1">
                  <c:v>1534</c:v>
                </c:pt>
                <c:pt idx="2">
                  <c:v>1549</c:v>
                </c:pt>
                <c:pt idx="3">
                  <c:v>1561</c:v>
                </c:pt>
                <c:pt idx="4">
                  <c:v>1578</c:v>
                </c:pt>
                <c:pt idx="5">
                  <c:v>1577</c:v>
                </c:pt>
                <c:pt idx="6">
                  <c:v>1608</c:v>
                </c:pt>
                <c:pt idx="7">
                  <c:v>1635</c:v>
                </c:pt>
              </c:numCache>
            </c:numRef>
          </c:val>
          <c:extLst>
            <c:ext xmlns:c16="http://schemas.microsoft.com/office/drawing/2014/chart" uri="{C3380CC4-5D6E-409C-BE32-E72D297353CC}">
              <c16:uniqueId val="{00000000-CC5F-466A-BE00-904FA0DD7D2D}"/>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'[Zeitreihe BGs_eLbs.xlsx]nur Erding'!$IG$1:$IN$1</c:f>
              <c:numCache>
                <c:formatCode>mmm\-yy</c:formatCode>
                <c:ptCount val="8"/>
                <c:pt idx="0">
                  <c:v>45627</c:v>
                </c:pt>
                <c:pt idx="1">
                  <c:v>45658</c:v>
                </c:pt>
                <c:pt idx="2">
                  <c:v>45689</c:v>
                </c:pt>
                <c:pt idx="3">
                  <c:v>45717</c:v>
                </c:pt>
                <c:pt idx="4">
                  <c:v>45748</c:v>
                </c:pt>
                <c:pt idx="5">
                  <c:v>45778</c:v>
                </c:pt>
                <c:pt idx="6">
                  <c:v>45809</c:v>
                </c:pt>
                <c:pt idx="7">
                  <c:v>45839</c:v>
                </c:pt>
              </c:numCache>
            </c:numRef>
          </c:cat>
          <c:val>
            <c:numRef>
              <c:f>'[Zeitreihe BGs_eLbs.xlsx]nur Erding'!$IG$3:$IN$3</c:f>
              <c:numCache>
                <c:formatCode>General</c:formatCode>
                <c:ptCount val="8"/>
                <c:pt idx="0">
                  <c:v>2004</c:v>
                </c:pt>
                <c:pt idx="1">
                  <c:v>2047</c:v>
                </c:pt>
                <c:pt idx="2">
                  <c:v>2065</c:v>
                </c:pt>
                <c:pt idx="3">
                  <c:v>2072</c:v>
                </c:pt>
                <c:pt idx="4">
                  <c:v>2098</c:v>
                </c:pt>
                <c:pt idx="5">
                  <c:v>2108</c:v>
                </c:pt>
                <c:pt idx="6">
                  <c:v>2145</c:v>
                </c:pt>
                <c:pt idx="7">
                  <c:v>2195</c:v>
                </c:pt>
              </c:numCache>
            </c:numRef>
          </c:val>
          <c:extLst>
            <c:ext xmlns:c16="http://schemas.microsoft.com/office/drawing/2014/chart" uri="{C3380CC4-5D6E-409C-BE32-E72D297353CC}">
              <c16:uniqueId val="{00000001-CC5F-466A-BE00-904FA0DD7D2D}"/>
            </c:ext>
          </c:extLst>
        </c:ser>
        <c:dLbls>
          <c:showLegendKey val="0"/>
          <c:showVal val="0"/>
          <c:showCatName val="0"/>
          <c:showSerName val="0"/>
          <c:showPercent val="0"/>
          <c:showBubbleSize val="0"/>
        </c:dLbls>
        <c:gapWidth val="219"/>
        <c:overlap val="-27"/>
        <c:axId val="519092088"/>
        <c:axId val="519088808"/>
      </c:barChart>
      <c:dateAx>
        <c:axId val="5190920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19088808"/>
        <c:crosses val="autoZero"/>
        <c:auto val="1"/>
        <c:lblOffset val="100"/>
        <c:baseTimeUnit val="months"/>
      </c:dateAx>
      <c:valAx>
        <c:axId val="519088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19092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Tabelle1!$B$1</c:f>
              <c:strCache>
                <c:ptCount val="1"/>
                <c:pt idx="0">
                  <c:v>Datenreihe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Tabelle1!$A$2:$A$9</c:f>
              <c:strCache>
                <c:ptCount val="8"/>
                <c:pt idx="0">
                  <c:v>Ukraine</c:v>
                </c:pt>
                <c:pt idx="1">
                  <c:v>Afghanistan</c:v>
                </c:pt>
                <c:pt idx="2">
                  <c:v>Syrien</c:v>
                </c:pt>
                <c:pt idx="3">
                  <c:v>Türkei</c:v>
                </c:pt>
                <c:pt idx="4">
                  <c:v>Iran/Irak</c:v>
                </c:pt>
                <c:pt idx="5">
                  <c:v>Rumänien</c:v>
                </c:pt>
                <c:pt idx="6">
                  <c:v>Bulgarien</c:v>
                </c:pt>
                <c:pt idx="7">
                  <c:v>Nigeria</c:v>
                </c:pt>
              </c:strCache>
            </c:strRef>
          </c:cat>
          <c:val>
            <c:numRef>
              <c:f>Tabelle1!$B$2:$B$9</c:f>
              <c:numCache>
                <c:formatCode>General</c:formatCode>
                <c:ptCount val="8"/>
                <c:pt idx="0">
                  <c:v>558</c:v>
                </c:pt>
                <c:pt idx="1">
                  <c:v>172</c:v>
                </c:pt>
                <c:pt idx="2">
                  <c:v>84</c:v>
                </c:pt>
                <c:pt idx="3">
                  <c:v>74</c:v>
                </c:pt>
                <c:pt idx="4">
                  <c:v>9</c:v>
                </c:pt>
                <c:pt idx="5">
                  <c:v>23</c:v>
                </c:pt>
                <c:pt idx="6">
                  <c:v>51</c:v>
                </c:pt>
                <c:pt idx="7">
                  <c:v>13</c:v>
                </c:pt>
              </c:numCache>
            </c:numRef>
          </c:val>
          <c:extLst>
            <c:ext xmlns:c16="http://schemas.microsoft.com/office/drawing/2014/chart" uri="{C3380CC4-5D6E-409C-BE32-E72D297353CC}">
              <c16:uniqueId val="{00000000-7647-4968-AED8-84E8D8B34653}"/>
            </c:ext>
          </c:extLst>
        </c:ser>
        <c:dLbls>
          <c:showLegendKey val="0"/>
          <c:showVal val="0"/>
          <c:showCatName val="0"/>
          <c:showSerName val="0"/>
          <c:showPercent val="0"/>
          <c:showBubbleSize val="0"/>
        </c:dLbls>
        <c:gapWidth val="182"/>
        <c:axId val="1125584704"/>
        <c:axId val="1125581464"/>
      </c:barChart>
      <c:catAx>
        <c:axId val="1125584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125581464"/>
        <c:crosses val="autoZero"/>
        <c:auto val="1"/>
        <c:lblAlgn val="ctr"/>
        <c:lblOffset val="100"/>
        <c:noMultiLvlLbl val="0"/>
      </c:catAx>
      <c:valAx>
        <c:axId val="1125581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125584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39752530933634"/>
          <c:y val="0.1248442354599668"/>
          <c:w val="0.87753018372703417"/>
          <c:h val="0.61498432487605714"/>
        </c:manualLayout>
      </c:layout>
      <c:barChart>
        <c:barDir val="col"/>
        <c:grouping val="clustered"/>
        <c:varyColors val="0"/>
        <c:ser>
          <c:idx val="2"/>
          <c:order val="0"/>
          <c:spPr>
            <a:solidFill>
              <a:schemeClr val="accent2">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Tabelle1!$HY$2:$II$2</c:f>
              <c:numCache>
                <c:formatCode>mmm\-yy</c:formatCode>
                <c:ptCount val="11"/>
                <c:pt idx="0">
                  <c:v>45627</c:v>
                </c:pt>
                <c:pt idx="1">
                  <c:v>45658</c:v>
                </c:pt>
                <c:pt idx="2">
                  <c:v>45689</c:v>
                </c:pt>
                <c:pt idx="3">
                  <c:v>45717</c:v>
                </c:pt>
                <c:pt idx="4">
                  <c:v>45748</c:v>
                </c:pt>
                <c:pt idx="5">
                  <c:v>45778</c:v>
                </c:pt>
                <c:pt idx="6">
                  <c:v>45809</c:v>
                </c:pt>
                <c:pt idx="7">
                  <c:v>45839</c:v>
                </c:pt>
                <c:pt idx="8">
                  <c:v>45870</c:v>
                </c:pt>
                <c:pt idx="9">
                  <c:v>45901</c:v>
                </c:pt>
                <c:pt idx="10">
                  <c:v>45931</c:v>
                </c:pt>
              </c:numCache>
            </c:numRef>
          </c:cat>
          <c:val>
            <c:numRef>
              <c:f>Tabelle1!$HY$3:$II$3</c:f>
              <c:numCache>
                <c:formatCode>General</c:formatCode>
                <c:ptCount val="11"/>
                <c:pt idx="0">
                  <c:v>1511</c:v>
                </c:pt>
                <c:pt idx="1">
                  <c:v>1762</c:v>
                </c:pt>
                <c:pt idx="2">
                  <c:v>1819</c:v>
                </c:pt>
                <c:pt idx="3">
                  <c:v>1732</c:v>
                </c:pt>
                <c:pt idx="4">
                  <c:v>1650</c:v>
                </c:pt>
                <c:pt idx="5">
                  <c:v>1635</c:v>
                </c:pt>
                <c:pt idx="6">
                  <c:v>1591</c:v>
                </c:pt>
                <c:pt idx="7">
                  <c:v>1629</c:v>
                </c:pt>
                <c:pt idx="8">
                  <c:v>1724</c:v>
                </c:pt>
                <c:pt idx="9">
                  <c:v>1739</c:v>
                </c:pt>
                <c:pt idx="10">
                  <c:v>1558</c:v>
                </c:pt>
              </c:numCache>
            </c:numRef>
          </c:val>
          <c:extLst>
            <c:ext xmlns:c16="http://schemas.microsoft.com/office/drawing/2014/chart" uri="{C3380CC4-5D6E-409C-BE32-E72D297353CC}">
              <c16:uniqueId val="{00000000-6A53-4DD5-B7C8-090849454590}"/>
            </c:ext>
          </c:extLst>
        </c:ser>
        <c:ser>
          <c:idx val="3"/>
          <c:order val="1"/>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Tabelle1!$HY$2:$II$2</c:f>
              <c:numCache>
                <c:formatCode>mmm\-yy</c:formatCode>
                <c:ptCount val="11"/>
                <c:pt idx="0">
                  <c:v>45627</c:v>
                </c:pt>
                <c:pt idx="1">
                  <c:v>45658</c:v>
                </c:pt>
                <c:pt idx="2">
                  <c:v>45689</c:v>
                </c:pt>
                <c:pt idx="3">
                  <c:v>45717</c:v>
                </c:pt>
                <c:pt idx="4">
                  <c:v>45748</c:v>
                </c:pt>
                <c:pt idx="5">
                  <c:v>45778</c:v>
                </c:pt>
                <c:pt idx="6">
                  <c:v>45809</c:v>
                </c:pt>
                <c:pt idx="7">
                  <c:v>45839</c:v>
                </c:pt>
                <c:pt idx="8">
                  <c:v>45870</c:v>
                </c:pt>
                <c:pt idx="9">
                  <c:v>45901</c:v>
                </c:pt>
                <c:pt idx="10">
                  <c:v>45931</c:v>
                </c:pt>
              </c:numCache>
            </c:numRef>
          </c:cat>
          <c:val>
            <c:numRef>
              <c:f>Tabelle1!$HY$4:$II$4</c:f>
              <c:numCache>
                <c:formatCode>General</c:formatCode>
                <c:ptCount val="11"/>
                <c:pt idx="0">
                  <c:v>673</c:v>
                </c:pt>
                <c:pt idx="1">
                  <c:v>723</c:v>
                </c:pt>
                <c:pt idx="2">
                  <c:v>746</c:v>
                </c:pt>
                <c:pt idx="3">
                  <c:v>757</c:v>
                </c:pt>
                <c:pt idx="4">
                  <c:v>780</c:v>
                </c:pt>
                <c:pt idx="5">
                  <c:v>789</c:v>
                </c:pt>
                <c:pt idx="6">
                  <c:v>816</c:v>
                </c:pt>
                <c:pt idx="7">
                  <c:v>803</c:v>
                </c:pt>
                <c:pt idx="8">
                  <c:v>814</c:v>
                </c:pt>
                <c:pt idx="9">
                  <c:v>844</c:v>
                </c:pt>
                <c:pt idx="10">
                  <c:v>814</c:v>
                </c:pt>
              </c:numCache>
            </c:numRef>
          </c:val>
          <c:extLst>
            <c:ext xmlns:c16="http://schemas.microsoft.com/office/drawing/2014/chart" uri="{C3380CC4-5D6E-409C-BE32-E72D297353CC}">
              <c16:uniqueId val="{00000001-6A53-4DD5-B7C8-090849454590}"/>
            </c:ext>
          </c:extLst>
        </c:ser>
        <c:dLbls>
          <c:showLegendKey val="0"/>
          <c:showVal val="0"/>
          <c:showCatName val="0"/>
          <c:showSerName val="0"/>
          <c:showPercent val="0"/>
          <c:showBubbleSize val="0"/>
        </c:dLbls>
        <c:gapWidth val="219"/>
        <c:overlap val="-27"/>
        <c:axId val="592274576"/>
        <c:axId val="1"/>
      </c:barChart>
      <c:dateAx>
        <c:axId val="592274576"/>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
        <c:crosses val="autoZero"/>
        <c:auto val="1"/>
        <c:lblOffset val="100"/>
        <c:baseTimeUnit val="months"/>
      </c:date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92274576"/>
        <c:crosses val="autoZero"/>
        <c:crossBetween val="between"/>
      </c:valAx>
    </c:plotArea>
    <c:plotVisOnly val="1"/>
    <c:dispBlanksAs val="gap"/>
    <c:showDLblsOverMax val="0"/>
  </c:chart>
  <c:txPr>
    <a:bodyPr/>
    <a:lstStyle/>
    <a:p>
      <a:pPr>
        <a:defRPr/>
      </a:pPr>
      <a:endParaRPr lang="de-DE"/>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Tabelle1!$B$1</c:f>
              <c:strCache>
                <c:ptCount val="1"/>
                <c:pt idx="0">
                  <c:v>Datenreihe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Tabelle1!$A$2:$A$8</c:f>
              <c:strCache>
                <c:ptCount val="7"/>
                <c:pt idx="0">
                  <c:v>Manner</c:v>
                </c:pt>
                <c:pt idx="1">
                  <c:v>Frauen</c:v>
                </c:pt>
                <c:pt idx="2">
                  <c:v>unter 25 Jahre</c:v>
                </c:pt>
                <c:pt idx="3">
                  <c:v>über 50 Jahre</c:v>
                </c:pt>
                <c:pt idx="4">
                  <c:v>Schwerbehinderte</c:v>
                </c:pt>
                <c:pt idx="5">
                  <c:v>Langzeitarbeitslose</c:v>
                </c:pt>
                <c:pt idx="6">
                  <c:v>Ausländer</c:v>
                </c:pt>
              </c:strCache>
            </c:strRef>
          </c:cat>
          <c:val>
            <c:numRef>
              <c:f>Tabelle1!$B$2:$B$8</c:f>
              <c:numCache>
                <c:formatCode>General</c:formatCode>
                <c:ptCount val="7"/>
                <c:pt idx="0">
                  <c:v>402</c:v>
                </c:pt>
                <c:pt idx="1">
                  <c:v>412</c:v>
                </c:pt>
                <c:pt idx="2">
                  <c:v>70</c:v>
                </c:pt>
                <c:pt idx="3">
                  <c:v>264</c:v>
                </c:pt>
                <c:pt idx="4">
                  <c:v>56</c:v>
                </c:pt>
                <c:pt idx="5">
                  <c:v>206</c:v>
                </c:pt>
                <c:pt idx="6">
                  <c:v>433</c:v>
                </c:pt>
              </c:numCache>
            </c:numRef>
          </c:val>
          <c:extLst>
            <c:ext xmlns:c16="http://schemas.microsoft.com/office/drawing/2014/chart" uri="{C3380CC4-5D6E-409C-BE32-E72D297353CC}">
              <c16:uniqueId val="{00000000-4AA4-4263-B8B5-8D7BECB18998}"/>
            </c:ext>
          </c:extLst>
        </c:ser>
        <c:dLbls>
          <c:showLegendKey val="0"/>
          <c:showVal val="0"/>
          <c:showCatName val="0"/>
          <c:showSerName val="0"/>
          <c:showPercent val="0"/>
          <c:showBubbleSize val="0"/>
        </c:dLbls>
        <c:gapWidth val="182"/>
        <c:axId val="536616288"/>
        <c:axId val="536616648"/>
      </c:barChart>
      <c:catAx>
        <c:axId val="536616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36616648"/>
        <c:crosses val="autoZero"/>
        <c:auto val="1"/>
        <c:lblAlgn val="ctr"/>
        <c:lblOffset val="100"/>
        <c:noMultiLvlLbl val="0"/>
      </c:catAx>
      <c:valAx>
        <c:axId val="536616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366162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Integrationsquote in Prozent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bar"/>
        <c:grouping val="clustered"/>
        <c:varyColors val="0"/>
        <c:ser>
          <c:idx val="0"/>
          <c:order val="0"/>
          <c:tx>
            <c:strRef>
              <c:f>Tabelle1!$B$1</c:f>
              <c:strCache>
                <c:ptCount val="1"/>
                <c:pt idx="0">
                  <c:v>Integrationsquote</c:v>
                </c:pt>
              </c:strCache>
            </c:strRef>
          </c:tx>
          <c:spPr>
            <a:solidFill>
              <a:schemeClr val="accent5">
                <a:lumMod val="60000"/>
                <a:lumOff val="40000"/>
              </a:schemeClr>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D750-4208-839D-DEDCE552D71C}"/>
              </c:ext>
            </c:extLst>
          </c:dPt>
          <c:dPt>
            <c:idx val="1"/>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3-D750-4208-839D-DEDCE552D71C}"/>
              </c:ext>
            </c:extLst>
          </c:dPt>
          <c:dPt>
            <c:idx val="3"/>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5-D750-4208-839D-DEDCE552D71C}"/>
              </c:ext>
            </c:extLst>
          </c:dPt>
          <c:dPt>
            <c:idx val="4"/>
            <c:invertIfNegative val="0"/>
            <c:bubble3D val="0"/>
            <c:spPr>
              <a:solidFill>
                <a:schemeClr val="bg2">
                  <a:lumMod val="90000"/>
                </a:schemeClr>
              </a:solidFill>
              <a:ln>
                <a:noFill/>
              </a:ln>
              <a:effectLst/>
            </c:spPr>
            <c:extLst>
              <c:ext xmlns:c16="http://schemas.microsoft.com/office/drawing/2014/chart" uri="{C3380CC4-5D6E-409C-BE32-E72D297353CC}">
                <c16:uniqueId val="{00000007-D750-4208-839D-DEDCE552D7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IQ Gesamt</c:v>
                </c:pt>
                <c:pt idx="1">
                  <c:v>davon Frauen</c:v>
                </c:pt>
                <c:pt idx="2">
                  <c:v>davon Männer</c:v>
                </c:pt>
                <c:pt idx="3">
                  <c:v>Flucht (8 HKL)</c:v>
                </c:pt>
                <c:pt idx="4">
                  <c:v>Ukraine</c:v>
                </c:pt>
              </c:strCache>
            </c:strRef>
          </c:cat>
          <c:val>
            <c:numRef>
              <c:f>Tabelle1!$B$2:$B$6</c:f>
              <c:numCache>
                <c:formatCode>General</c:formatCode>
                <c:ptCount val="5"/>
                <c:pt idx="0">
                  <c:v>23.7</c:v>
                </c:pt>
                <c:pt idx="1">
                  <c:v>20.6</c:v>
                </c:pt>
                <c:pt idx="2">
                  <c:v>27.4</c:v>
                </c:pt>
                <c:pt idx="3">
                  <c:v>33.6</c:v>
                </c:pt>
                <c:pt idx="4">
                  <c:v>17.7</c:v>
                </c:pt>
              </c:numCache>
            </c:numRef>
          </c:val>
          <c:extLst>
            <c:ext xmlns:c16="http://schemas.microsoft.com/office/drawing/2014/chart" uri="{C3380CC4-5D6E-409C-BE32-E72D297353CC}">
              <c16:uniqueId val="{00000008-D750-4208-839D-DEDCE552D71C}"/>
            </c:ext>
          </c:extLst>
        </c:ser>
        <c:dLbls>
          <c:showLegendKey val="0"/>
          <c:showVal val="0"/>
          <c:showCatName val="0"/>
          <c:showSerName val="0"/>
          <c:showPercent val="0"/>
          <c:showBubbleSize val="0"/>
        </c:dLbls>
        <c:gapWidth val="182"/>
        <c:axId val="469848304"/>
        <c:axId val="469848960"/>
      </c:barChart>
      <c:catAx>
        <c:axId val="469848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69848960"/>
        <c:crosses val="autoZero"/>
        <c:auto val="1"/>
        <c:lblAlgn val="ctr"/>
        <c:lblOffset val="100"/>
        <c:noMultiLvlLbl val="0"/>
      </c:catAx>
      <c:valAx>
        <c:axId val="469848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69848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9AF0D-B699-454A-8136-33B2C1A8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594</Words>
  <Characters>4289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2025-12-11T10:27:00Z</dcterms:created>
  <dcterms:modified xsi:type="dcterms:W3CDTF">2025-12-11T10:27:00Z</dcterms:modified>
</cp:coreProperties>
</file>